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16A1CE1D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AMPLIACIÓN DE FECHA DE </w:t>
      </w:r>
      <w:r w:rsidR="00467A74">
        <w:rPr>
          <w:rFonts w:ascii="Arial" w:eastAsia="Arial" w:hAnsi="Arial" w:cs="Arial"/>
          <w:b/>
          <w:color w:val="222222"/>
          <w:sz w:val="24"/>
        </w:rPr>
        <w:t xml:space="preserve">ABSOLUCIÓN DE CONSULTAS Y </w:t>
      </w:r>
      <w:r w:rsidR="00091419">
        <w:rPr>
          <w:rFonts w:ascii="Arial" w:eastAsia="Arial" w:hAnsi="Arial" w:cs="Arial"/>
          <w:b/>
          <w:color w:val="222222"/>
          <w:sz w:val="24"/>
        </w:rPr>
        <w:t>PRESENTACIÓN DE OFERTAS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4299C0A0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</w:t>
      </w:r>
      <w:r w:rsidR="008C731D">
        <w:rPr>
          <w:rFonts w:ascii="Arial" w:eastAsia="Arial" w:hAnsi="Arial" w:cs="Arial"/>
          <w:b/>
          <w:color w:val="222222"/>
          <w:sz w:val="24"/>
        </w:rPr>
        <w:t>2</w:t>
      </w:r>
      <w:r w:rsidR="00643F4C">
        <w:rPr>
          <w:rFonts w:ascii="Arial" w:eastAsia="Arial" w:hAnsi="Arial" w:cs="Arial"/>
          <w:b/>
          <w:color w:val="222222"/>
          <w:sz w:val="24"/>
        </w:rPr>
        <w:t>1</w:t>
      </w:r>
      <w:r>
        <w:rPr>
          <w:rFonts w:ascii="Arial" w:eastAsia="Arial" w:hAnsi="Arial" w:cs="Arial"/>
          <w:b/>
          <w:color w:val="222222"/>
          <w:sz w:val="24"/>
        </w:rPr>
        <w:t>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2A73C74A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 w:rsidR="00643F4C">
        <w:t>LÁCTEOS, CÁRNICOS Y FRUTAS</w:t>
      </w:r>
      <w:r>
        <w:t xml:space="preserve">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12A0BC06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 w:rsidR="00643F4C">
        <w:rPr>
          <w:rFonts w:ascii="Arial" w:eastAsia="Arial" w:hAnsi="Arial" w:cs="Arial"/>
          <w:color w:val="222222"/>
          <w:sz w:val="20"/>
        </w:rPr>
        <w:t>lácteos, cárnicos y frutas</w:t>
      </w:r>
      <w:r>
        <w:rPr>
          <w:rFonts w:ascii="Arial" w:eastAsia="Arial" w:hAnsi="Arial" w:cs="Arial"/>
          <w:color w:val="222222"/>
          <w:sz w:val="20"/>
        </w:rPr>
        <w:t xml:space="preserve">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7AFF09F6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651E04" w:rsidRPr="00091419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se comunica que la fecha de </w:t>
      </w:r>
      <w:r w:rsidR="00467A74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absolución de consultas y </w:t>
      </w:r>
      <w:r w:rsidR="00091419">
        <w:rPr>
          <w:rFonts w:ascii="Arial" w:eastAsia="Arial" w:hAnsi="Arial" w:cs="Arial"/>
          <w:b/>
          <w:bCs/>
          <w:color w:val="0000FF"/>
          <w:sz w:val="20"/>
          <w:u w:val="single"/>
        </w:rPr>
        <w:t>presentación de ofertas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007A7D1F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04</w:t>
            </w:r>
            <w:r w:rsidRP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</w:t>
            </w:r>
            <w:r w:rsid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de octu</w:t>
            </w:r>
            <w:r w:rsidRP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bre de 2022</w:t>
            </w:r>
            <w:r w:rsidRPr="00091419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16D86BDE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Hasta el </w:t>
            </w:r>
            <w:r w:rsidR="00091419"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="00467A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410F8A52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091419">
        <w:rPr>
          <w:rFonts w:ascii="Arial" w:eastAsia="Arial" w:hAnsi="Arial" w:cs="Arial"/>
          <w:color w:val="222222"/>
          <w:sz w:val="20"/>
        </w:rPr>
        <w:t>30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0219F7BA" w:rsidR="006C4308" w:rsidRDefault="006C4308">
      <w:pPr>
        <w:spacing w:after="0"/>
      </w:pPr>
      <w:r>
        <w:t>CP N° 0</w:t>
      </w:r>
      <w:r w:rsidR="008C731D">
        <w:t>2</w:t>
      </w:r>
      <w:r w:rsidR="00643F4C">
        <w:t>1</w:t>
      </w:r>
      <w:r>
        <w:t>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091419"/>
    <w:rsid w:val="00303322"/>
    <w:rsid w:val="00380CD6"/>
    <w:rsid w:val="00467A74"/>
    <w:rsid w:val="00643F4C"/>
    <w:rsid w:val="00651E04"/>
    <w:rsid w:val="006B3696"/>
    <w:rsid w:val="006C4308"/>
    <w:rsid w:val="00764BAD"/>
    <w:rsid w:val="008C731D"/>
    <w:rsid w:val="00A021B5"/>
    <w:rsid w:val="00B51D92"/>
    <w:rsid w:val="00C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2022-09-30T21:01:00Z</dcterms:created>
  <dcterms:modified xsi:type="dcterms:W3CDTF">2022-09-30T23:59:00Z</dcterms:modified>
</cp:coreProperties>
</file>